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0" w:after="20" w:line="293" w:lineRule="auto"/>
        <w:jc w:val="center"/>
        <w:outlineLvl w:val="1"/>
        <w:rPr>
          <w:rFonts w:ascii="宋体" w:hAnsi="宋体"/>
          <w:b/>
          <w:kern w:val="0"/>
          <w:sz w:val="32"/>
          <w:szCs w:val="32"/>
        </w:rPr>
      </w:pPr>
      <w:r>
        <w:rPr>
          <w:rFonts w:hint="eastAsia" w:ascii="宋体" w:hAnsi="宋体"/>
          <w:b/>
          <w:kern w:val="0"/>
          <w:sz w:val="32"/>
          <w:szCs w:val="32"/>
        </w:rPr>
        <w:t>项目需求书</w:t>
      </w:r>
    </w:p>
    <w:p>
      <w:pPr>
        <w:adjustRightInd/>
        <w:spacing w:line="360" w:lineRule="auto"/>
        <w:textAlignment w:val="auto"/>
      </w:pPr>
      <w:r>
        <w:rPr>
          <w:rFonts w:hint="eastAsia" w:ascii="宋体" w:hAnsi="宋体" w:cs="仿宋_GB2312"/>
          <w:sz w:val="24"/>
          <w:szCs w:val="24"/>
        </w:rPr>
        <w:t>说明：</w:t>
      </w:r>
    </w:p>
    <w:p>
      <w:pPr>
        <w:pStyle w:val="2"/>
        <w:ind w:firstLine="480" w:firstLineChars="200"/>
        <w:jc w:val="both"/>
      </w:pPr>
      <w:r>
        <w:rPr>
          <w:rFonts w:hint="eastAsia"/>
        </w:rPr>
        <w:t>加注“</w:t>
      </w:r>
      <w:r>
        <w:rPr>
          <w:rFonts w:hint="eastAsia" w:ascii="宋体" w:hAnsi="宋体" w:cs="仿宋_GB2312"/>
          <w:szCs w:val="24"/>
        </w:rPr>
        <w:t>★</w:t>
      </w:r>
      <w:r>
        <w:rPr>
          <w:rFonts w:hint="eastAsia"/>
        </w:rPr>
        <w:t>”号条款为实质性条款，不得出现负偏离，发生负偏离即做无效标处理。</w:t>
      </w:r>
    </w:p>
    <w:p>
      <w:pPr>
        <w:adjustRightInd/>
        <w:spacing w:line="360" w:lineRule="auto"/>
        <w:ind w:firstLine="480" w:firstLineChars="200"/>
        <w:textAlignment w:val="auto"/>
        <w:rPr>
          <w:rFonts w:ascii="宋体" w:hAnsi="宋体" w:cs="仿宋_GB2312"/>
          <w:sz w:val="24"/>
          <w:szCs w:val="24"/>
        </w:rPr>
      </w:pPr>
      <w:r>
        <w:rPr>
          <w:rFonts w:hint="eastAsia" w:ascii="宋体" w:hAnsi="宋体" w:cs="仿宋_GB2312"/>
          <w:sz w:val="24"/>
          <w:szCs w:val="24"/>
        </w:rPr>
        <w:t>名称加注“▲”号的产品为核心产品。提供相同品牌产品且通过资格审查、符合性审查的不同供应商参加同一合同项下投标的，按一家供应商计算，不足三家供应商时，本项目按废</w:t>
      </w:r>
      <w:bookmarkStart w:id="0" w:name="_GoBack"/>
      <w:r>
        <w:rPr>
          <w:rFonts w:hint="eastAsia" w:ascii="宋体" w:hAnsi="宋体" w:cs="仿宋_GB2312"/>
          <w:sz w:val="24"/>
          <w:szCs w:val="24"/>
        </w:rPr>
        <w:t>标</w:t>
      </w:r>
      <w:bookmarkEnd w:id="0"/>
      <w:r>
        <w:rPr>
          <w:rFonts w:hint="eastAsia" w:ascii="宋体" w:hAnsi="宋体" w:cs="仿宋_GB2312"/>
          <w:sz w:val="24"/>
          <w:szCs w:val="24"/>
        </w:rPr>
        <w:t>处理。采购文件中涉及的参照品牌、型号仅起说明作用，并没有任何限制性，供应商在投标中可以选用其他替代品牌或型号，但这些替代要实质上优于或相当于招标要求。</w:t>
      </w:r>
    </w:p>
    <w:p>
      <w:pPr>
        <w:pStyle w:val="2"/>
        <w:jc w:val="left"/>
      </w:pPr>
      <w:r>
        <w:rPr>
          <w:rFonts w:hint="eastAsia"/>
        </w:rPr>
        <w:t>本项目属于工业或批发零售业。</w:t>
      </w:r>
    </w:p>
    <w:p>
      <w:pPr>
        <w:pStyle w:val="3"/>
        <w:keepNext w:val="0"/>
        <w:keepLines w:val="0"/>
        <w:spacing w:line="240" w:lineRule="auto"/>
      </w:pPr>
      <w:r>
        <w:rPr>
          <w:rFonts w:hint="eastAsia" w:ascii="宋体" w:hAnsi="宋体"/>
          <w:spacing w:val="10"/>
          <w:sz w:val="28"/>
          <w:szCs w:val="28"/>
        </w:rPr>
        <w:t>一、招标货物名称、数量</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4172"/>
        <w:gridCol w:w="1263"/>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421" w:type="pct"/>
            <w:shd w:val="clear" w:color="auto" w:fill="auto"/>
            <w:noWrap/>
            <w:vAlign w:val="center"/>
          </w:tcPr>
          <w:p>
            <w:pPr>
              <w:widowControl/>
              <w:spacing w:line="360" w:lineRule="auto"/>
              <w:jc w:val="center"/>
              <w:rPr>
                <w:rFonts w:ascii="宋体" w:hAnsi="宋体" w:cs="宋体"/>
                <w:b/>
                <w:bCs/>
                <w:color w:val="000000"/>
                <w:szCs w:val="24"/>
              </w:rPr>
            </w:pPr>
            <w:r>
              <w:rPr>
                <w:rFonts w:hint="eastAsia" w:ascii="宋体" w:hAnsi="宋体" w:cs="宋体"/>
                <w:b/>
                <w:bCs/>
                <w:color w:val="000000"/>
                <w:szCs w:val="24"/>
              </w:rPr>
              <w:t>包号</w:t>
            </w:r>
          </w:p>
        </w:tc>
        <w:tc>
          <w:tcPr>
            <w:tcW w:w="2447" w:type="pct"/>
            <w:shd w:val="clear" w:color="auto" w:fill="auto"/>
            <w:noWrap/>
            <w:vAlign w:val="center"/>
          </w:tcPr>
          <w:p>
            <w:pPr>
              <w:widowControl/>
              <w:spacing w:line="360" w:lineRule="auto"/>
              <w:jc w:val="center"/>
              <w:rPr>
                <w:rFonts w:ascii="宋体" w:hAnsi="宋体" w:cs="宋体"/>
                <w:b/>
                <w:bCs/>
                <w:color w:val="000000"/>
                <w:szCs w:val="24"/>
              </w:rPr>
            </w:pPr>
            <w:r>
              <w:rPr>
                <w:rFonts w:hint="eastAsia" w:ascii="宋体" w:hAnsi="宋体" w:cs="宋体"/>
                <w:b/>
                <w:bCs/>
                <w:color w:val="000000"/>
                <w:szCs w:val="24"/>
              </w:rPr>
              <w:t>货物名称</w:t>
            </w:r>
          </w:p>
        </w:tc>
        <w:tc>
          <w:tcPr>
            <w:tcW w:w="741" w:type="pct"/>
            <w:shd w:val="clear" w:color="auto" w:fill="auto"/>
            <w:noWrap/>
            <w:vAlign w:val="center"/>
          </w:tcPr>
          <w:p>
            <w:pPr>
              <w:widowControl/>
              <w:spacing w:line="360" w:lineRule="auto"/>
              <w:jc w:val="center"/>
              <w:rPr>
                <w:rFonts w:ascii="宋体" w:hAnsi="宋体" w:cs="宋体"/>
                <w:b/>
                <w:bCs/>
                <w:color w:val="000000"/>
                <w:szCs w:val="24"/>
              </w:rPr>
            </w:pPr>
            <w:r>
              <w:rPr>
                <w:rFonts w:hint="eastAsia" w:ascii="宋体" w:hAnsi="宋体" w:cs="宋体"/>
                <w:b/>
                <w:bCs/>
                <w:color w:val="000000"/>
                <w:szCs w:val="24"/>
              </w:rPr>
              <w:t>数量</w:t>
            </w:r>
          </w:p>
        </w:tc>
        <w:tc>
          <w:tcPr>
            <w:tcW w:w="1389" w:type="pct"/>
            <w:shd w:val="clear" w:color="auto" w:fill="auto"/>
            <w:noWrap/>
            <w:vAlign w:val="center"/>
          </w:tcPr>
          <w:p>
            <w:pPr>
              <w:widowControl/>
              <w:spacing w:line="360" w:lineRule="auto"/>
              <w:jc w:val="center"/>
              <w:rPr>
                <w:rFonts w:ascii="宋体" w:hAnsi="宋体" w:cs="宋体"/>
                <w:b/>
                <w:bCs/>
                <w:color w:val="000000"/>
                <w:szCs w:val="24"/>
              </w:rPr>
            </w:pPr>
            <w:r>
              <w:rPr>
                <w:rFonts w:hint="eastAsia" w:ascii="宋体" w:hAnsi="宋体" w:cs="宋体"/>
                <w:b/>
                <w:bCs/>
                <w:color w:val="000000"/>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1" w:type="pct"/>
            <w:vMerge w:val="restart"/>
            <w:shd w:val="clear" w:color="auto" w:fill="auto"/>
            <w:noWrap/>
            <w:vAlign w:val="center"/>
          </w:tcPr>
          <w:p>
            <w:pPr>
              <w:spacing w:line="360" w:lineRule="auto"/>
              <w:jc w:val="center"/>
              <w:rPr>
                <w:rFonts w:ascii="宋体" w:hAnsi="宋体" w:cs="宋体"/>
                <w:color w:val="000000"/>
                <w:szCs w:val="24"/>
              </w:rPr>
            </w:pPr>
            <w:r>
              <w:rPr>
                <w:rFonts w:hint="eastAsia" w:ascii="宋体" w:hAnsi="宋体" w:cs="宋体"/>
                <w:color w:val="000000"/>
                <w:szCs w:val="24"/>
              </w:rPr>
              <w:t>1</w:t>
            </w:r>
          </w:p>
        </w:tc>
        <w:tc>
          <w:tcPr>
            <w:tcW w:w="2447" w:type="pct"/>
            <w:shd w:val="clear" w:color="auto" w:fill="auto"/>
            <w:noWrap/>
            <w:vAlign w:val="center"/>
          </w:tcPr>
          <w:p>
            <w:pPr>
              <w:adjustRightInd/>
              <w:spacing w:line="360" w:lineRule="auto"/>
              <w:jc w:val="center"/>
              <w:textAlignment w:val="auto"/>
              <w:rPr>
                <w:rFonts w:ascii="宋体" w:hAnsi="宋体" w:cs="仿宋_GB2312"/>
                <w:sz w:val="24"/>
                <w:szCs w:val="24"/>
              </w:rPr>
            </w:pPr>
            <w:r>
              <w:rPr>
                <w:rFonts w:hint="eastAsia" w:ascii="宋体" w:hAnsi="宋体" w:cs="仿宋_GB2312"/>
                <w:sz w:val="24"/>
                <w:szCs w:val="24"/>
              </w:rPr>
              <w:t>▲蓄电池</w:t>
            </w:r>
          </w:p>
        </w:tc>
        <w:tc>
          <w:tcPr>
            <w:tcW w:w="741" w:type="pct"/>
            <w:shd w:val="clear" w:color="auto" w:fill="auto"/>
            <w:noWrap/>
            <w:vAlign w:val="center"/>
          </w:tcPr>
          <w:p>
            <w:pPr>
              <w:adjustRightInd/>
              <w:spacing w:line="360" w:lineRule="auto"/>
              <w:jc w:val="center"/>
              <w:textAlignment w:val="auto"/>
              <w:rPr>
                <w:rFonts w:ascii="宋体" w:hAnsi="宋体" w:cs="仿宋_GB2312"/>
                <w:sz w:val="24"/>
                <w:szCs w:val="24"/>
              </w:rPr>
            </w:pPr>
            <w:r>
              <w:rPr>
                <w:rFonts w:hint="eastAsia" w:ascii="宋体" w:hAnsi="宋体" w:cs="仿宋_GB2312"/>
                <w:sz w:val="24"/>
                <w:szCs w:val="24"/>
              </w:rPr>
              <w:t>160只</w:t>
            </w:r>
          </w:p>
        </w:tc>
        <w:tc>
          <w:tcPr>
            <w:tcW w:w="1389" w:type="pct"/>
            <w:vMerge w:val="restart"/>
            <w:shd w:val="clear" w:color="auto" w:fill="auto"/>
            <w:noWrap/>
            <w:vAlign w:val="center"/>
          </w:tcPr>
          <w:p>
            <w:pPr>
              <w:spacing w:line="360" w:lineRule="auto"/>
              <w:jc w:val="center"/>
              <w:rPr>
                <w:rFonts w:ascii="宋体" w:hAnsi="宋体" w:cs="宋体"/>
                <w:color w:val="000000"/>
                <w:szCs w:val="24"/>
              </w:rPr>
            </w:pPr>
            <w:r>
              <w:rPr>
                <w:rFonts w:hint="eastAsia" w:ascii="仿宋_GB2312"/>
                <w:kern w:val="0"/>
                <w:sz w:val="24"/>
              </w:rPr>
              <w:t>380000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1" w:type="pct"/>
            <w:vMerge w:val="continue"/>
            <w:shd w:val="clear" w:color="auto" w:fill="auto"/>
            <w:noWrap/>
            <w:vAlign w:val="center"/>
          </w:tcPr>
          <w:p>
            <w:pPr>
              <w:spacing w:line="360" w:lineRule="auto"/>
              <w:jc w:val="center"/>
              <w:rPr>
                <w:rFonts w:ascii="宋体" w:hAnsi="宋体" w:cs="宋体"/>
                <w:color w:val="000000"/>
                <w:szCs w:val="24"/>
              </w:rPr>
            </w:pPr>
          </w:p>
        </w:tc>
        <w:tc>
          <w:tcPr>
            <w:tcW w:w="2447" w:type="pct"/>
            <w:shd w:val="clear" w:color="auto" w:fill="auto"/>
            <w:noWrap/>
            <w:vAlign w:val="center"/>
          </w:tcPr>
          <w:p>
            <w:pPr>
              <w:adjustRightInd/>
              <w:spacing w:line="360" w:lineRule="auto"/>
              <w:jc w:val="center"/>
              <w:textAlignment w:val="auto"/>
              <w:rPr>
                <w:rFonts w:ascii="宋体" w:hAnsi="宋体" w:cs="仿宋_GB2312"/>
                <w:sz w:val="24"/>
                <w:szCs w:val="24"/>
              </w:rPr>
            </w:pPr>
            <w:r>
              <w:rPr>
                <w:rFonts w:hint="eastAsia" w:ascii="宋体" w:hAnsi="宋体" w:cs="仿宋_GB2312"/>
                <w:sz w:val="24"/>
                <w:szCs w:val="24"/>
              </w:rPr>
              <w:t>风扇</w:t>
            </w:r>
          </w:p>
        </w:tc>
        <w:tc>
          <w:tcPr>
            <w:tcW w:w="741" w:type="pct"/>
            <w:shd w:val="clear" w:color="auto" w:fill="auto"/>
            <w:noWrap/>
            <w:vAlign w:val="center"/>
          </w:tcPr>
          <w:p>
            <w:pPr>
              <w:adjustRightInd/>
              <w:spacing w:line="360" w:lineRule="auto"/>
              <w:jc w:val="center"/>
              <w:textAlignment w:val="auto"/>
              <w:rPr>
                <w:rFonts w:ascii="宋体" w:hAnsi="宋体" w:cs="仿宋_GB2312"/>
                <w:sz w:val="24"/>
                <w:szCs w:val="24"/>
              </w:rPr>
            </w:pPr>
            <w:r>
              <w:rPr>
                <w:rFonts w:hint="eastAsia" w:ascii="宋体" w:hAnsi="宋体" w:cs="仿宋_GB2312"/>
                <w:sz w:val="24"/>
                <w:szCs w:val="24"/>
              </w:rPr>
              <w:t>48只</w:t>
            </w:r>
          </w:p>
        </w:tc>
        <w:tc>
          <w:tcPr>
            <w:tcW w:w="1389" w:type="pct"/>
            <w:vMerge w:val="continue"/>
            <w:shd w:val="clear" w:color="auto" w:fill="auto"/>
            <w:noWrap/>
            <w:vAlign w:val="center"/>
          </w:tcPr>
          <w:p>
            <w:pPr>
              <w:spacing w:line="360" w:lineRule="auto"/>
              <w:jc w:val="cente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1" w:type="pct"/>
            <w:vMerge w:val="continue"/>
            <w:shd w:val="clear" w:color="auto" w:fill="auto"/>
            <w:noWrap/>
            <w:vAlign w:val="center"/>
          </w:tcPr>
          <w:p>
            <w:pPr>
              <w:spacing w:line="360" w:lineRule="auto"/>
              <w:jc w:val="center"/>
              <w:rPr>
                <w:rFonts w:ascii="宋体" w:hAnsi="宋体" w:cs="宋体"/>
                <w:color w:val="000000"/>
                <w:szCs w:val="24"/>
              </w:rPr>
            </w:pPr>
          </w:p>
        </w:tc>
        <w:tc>
          <w:tcPr>
            <w:tcW w:w="2447" w:type="pct"/>
            <w:shd w:val="clear" w:color="auto" w:fill="auto"/>
            <w:noWrap/>
            <w:vAlign w:val="center"/>
          </w:tcPr>
          <w:p>
            <w:pPr>
              <w:adjustRightInd/>
              <w:spacing w:line="360" w:lineRule="auto"/>
              <w:jc w:val="center"/>
              <w:textAlignment w:val="auto"/>
              <w:rPr>
                <w:rFonts w:ascii="宋体" w:hAnsi="宋体" w:cs="仿宋_GB2312"/>
                <w:sz w:val="24"/>
                <w:szCs w:val="24"/>
              </w:rPr>
            </w:pPr>
            <w:r>
              <w:rPr>
                <w:rFonts w:hint="eastAsia" w:ascii="宋体" w:hAnsi="宋体" w:cs="仿宋_GB2312"/>
                <w:sz w:val="24"/>
                <w:szCs w:val="24"/>
              </w:rPr>
              <w:t>USB服务器</w:t>
            </w:r>
          </w:p>
        </w:tc>
        <w:tc>
          <w:tcPr>
            <w:tcW w:w="741" w:type="pct"/>
            <w:shd w:val="clear" w:color="auto" w:fill="auto"/>
            <w:noWrap/>
            <w:vAlign w:val="center"/>
          </w:tcPr>
          <w:p>
            <w:pPr>
              <w:adjustRightInd/>
              <w:spacing w:line="360" w:lineRule="auto"/>
              <w:jc w:val="center"/>
              <w:textAlignment w:val="auto"/>
              <w:rPr>
                <w:rFonts w:ascii="宋体" w:hAnsi="宋体" w:cs="仿宋_GB2312"/>
                <w:sz w:val="24"/>
                <w:szCs w:val="24"/>
              </w:rPr>
            </w:pPr>
            <w:r>
              <w:rPr>
                <w:rFonts w:hint="eastAsia" w:ascii="宋体" w:hAnsi="宋体" w:cs="仿宋_GB2312"/>
                <w:sz w:val="24"/>
                <w:szCs w:val="24"/>
              </w:rPr>
              <w:t>2台</w:t>
            </w:r>
          </w:p>
        </w:tc>
        <w:tc>
          <w:tcPr>
            <w:tcW w:w="1389" w:type="pct"/>
            <w:vMerge w:val="continue"/>
            <w:shd w:val="clear" w:color="auto" w:fill="auto"/>
            <w:noWrap/>
            <w:vAlign w:val="center"/>
          </w:tcPr>
          <w:p>
            <w:pPr>
              <w:spacing w:line="360" w:lineRule="auto"/>
              <w:jc w:val="center"/>
              <w:rPr>
                <w:rFonts w:ascii="宋体" w:hAnsi="宋体" w:cs="宋体"/>
                <w:color w:val="000000"/>
                <w:szCs w:val="24"/>
              </w:rPr>
            </w:pPr>
          </w:p>
        </w:tc>
      </w:tr>
    </w:tbl>
    <w:p>
      <w:pPr>
        <w:pStyle w:val="3"/>
        <w:keepNext w:val="0"/>
        <w:keepLines w:val="0"/>
        <w:spacing w:line="240" w:lineRule="auto"/>
        <w:rPr>
          <w:rFonts w:ascii="宋体" w:hAnsi="宋体"/>
          <w:spacing w:val="10"/>
          <w:sz w:val="28"/>
          <w:szCs w:val="28"/>
        </w:rPr>
      </w:pPr>
      <w:r>
        <w:rPr>
          <w:rFonts w:hint="eastAsia" w:ascii="宋体" w:hAnsi="宋体"/>
          <w:spacing w:val="10"/>
          <w:sz w:val="28"/>
          <w:szCs w:val="28"/>
        </w:rPr>
        <w:t>二、招标货物技术要求</w:t>
      </w:r>
    </w:p>
    <w:p>
      <w:pPr>
        <w:pStyle w:val="6"/>
        <w:numPr>
          <w:ilvl w:val="0"/>
          <w:numId w:val="1"/>
        </w:numPr>
        <w:spacing w:line="360" w:lineRule="auto"/>
        <w:ind w:firstLineChars="0"/>
        <w:rPr>
          <w:rFonts w:ascii="宋体" w:hAnsi="宋体" w:cs="仿宋_GB2312"/>
          <w:sz w:val="24"/>
          <w:szCs w:val="24"/>
        </w:rPr>
      </w:pPr>
      <w:r>
        <w:rPr>
          <w:rFonts w:hint="eastAsia" w:ascii="宋体" w:hAnsi="宋体" w:cs="仿宋_GB2312"/>
          <w:sz w:val="24"/>
          <w:szCs w:val="24"/>
        </w:rPr>
        <w:t>蓄电池：数量160只</w:t>
      </w:r>
    </w:p>
    <w:p>
      <w:pPr>
        <w:pStyle w:val="6"/>
        <w:spacing w:line="360" w:lineRule="auto"/>
        <w:ind w:left="840" w:firstLine="0" w:firstLineChars="0"/>
        <w:rPr>
          <w:rFonts w:ascii="宋体" w:hAnsi="宋体" w:cs="仿宋_GB2312"/>
          <w:sz w:val="24"/>
          <w:szCs w:val="24"/>
        </w:rPr>
      </w:pPr>
      <w:r>
        <w:rPr>
          <w:rFonts w:hint="eastAsia" w:ascii="宋体" w:hAnsi="宋体" w:cs="仿宋_GB2312"/>
          <w:sz w:val="24"/>
          <w:szCs w:val="24"/>
        </w:rPr>
        <w:t>容量：200AH</w:t>
      </w:r>
    </w:p>
    <w:p>
      <w:pPr>
        <w:pStyle w:val="6"/>
        <w:spacing w:line="360" w:lineRule="auto"/>
        <w:ind w:left="840" w:firstLine="0" w:firstLineChars="0"/>
        <w:rPr>
          <w:rFonts w:ascii="宋体" w:hAnsi="宋体" w:cs="仿宋_GB2312"/>
          <w:sz w:val="24"/>
          <w:szCs w:val="24"/>
        </w:rPr>
      </w:pPr>
      <w:r>
        <w:rPr>
          <w:rFonts w:hint="eastAsia" w:ascii="宋体" w:hAnsi="宋体" w:cs="仿宋_GB2312"/>
          <w:sz w:val="24"/>
          <w:szCs w:val="24"/>
        </w:rPr>
        <w:t>电压：单只12V</w:t>
      </w:r>
    </w:p>
    <w:p>
      <w:pPr>
        <w:pStyle w:val="6"/>
        <w:spacing w:line="360" w:lineRule="auto"/>
        <w:ind w:left="840" w:firstLine="0" w:firstLineChars="0"/>
        <w:rPr>
          <w:rFonts w:ascii="宋体" w:hAnsi="宋体" w:cs="仿宋_GB2312"/>
          <w:sz w:val="24"/>
          <w:szCs w:val="24"/>
        </w:rPr>
      </w:pPr>
      <w:r>
        <w:rPr>
          <w:rFonts w:hint="eastAsia" w:ascii="宋体" w:hAnsi="宋体" w:cs="仿宋_GB2312"/>
          <w:sz w:val="24"/>
          <w:szCs w:val="24"/>
        </w:rPr>
        <w:t>外壳：ABS工程塑料</w:t>
      </w:r>
    </w:p>
    <w:p>
      <w:pPr>
        <w:pStyle w:val="6"/>
        <w:spacing w:line="360" w:lineRule="auto"/>
        <w:ind w:left="840" w:firstLine="0" w:firstLineChars="0"/>
        <w:rPr>
          <w:rFonts w:ascii="宋体" w:hAnsi="宋体" w:cs="仿宋_GB2312"/>
          <w:sz w:val="24"/>
          <w:szCs w:val="24"/>
        </w:rPr>
      </w:pPr>
      <w:r>
        <w:rPr>
          <w:rFonts w:hint="eastAsia" w:ascii="宋体" w:hAnsi="宋体" w:cs="仿宋_GB2312"/>
          <w:sz w:val="24"/>
          <w:szCs w:val="24"/>
        </w:rPr>
        <w:t>蓄电池要求选用密封型免维护铅酸胶体蓄电池；符合的标准: GB/T 22473-2008 ，GB/T 19638.2-2005， YD/T799-2002</w:t>
      </w:r>
    </w:p>
    <w:p>
      <w:pPr>
        <w:pStyle w:val="6"/>
        <w:spacing w:line="360" w:lineRule="auto"/>
        <w:ind w:left="840" w:firstLine="0" w:firstLineChars="0"/>
        <w:rPr>
          <w:rFonts w:ascii="宋体" w:hAnsi="宋体" w:cs="仿宋_GB2312"/>
          <w:sz w:val="24"/>
          <w:szCs w:val="24"/>
        </w:rPr>
      </w:pPr>
      <w:r>
        <w:rPr>
          <w:rFonts w:hint="eastAsia" w:ascii="宋体" w:hAnsi="宋体" w:cs="仿宋_GB2312"/>
          <w:sz w:val="24"/>
          <w:szCs w:val="24"/>
        </w:rPr>
        <w:t>蓄电池产品的制造商具备GB/T19001系列/IS09001系列质量管理体系认证、GB/T28001系列/OHSAS18001/ISO45001系列职业健康安全管理体系认证、GB/T24001系列或ISO14001系列环境管理体系认证，提供证书复印件加盖投标单位公章。</w:t>
      </w:r>
    </w:p>
    <w:p>
      <w:pPr>
        <w:pStyle w:val="6"/>
        <w:numPr>
          <w:ilvl w:val="0"/>
          <w:numId w:val="1"/>
        </w:numPr>
        <w:spacing w:line="360" w:lineRule="auto"/>
        <w:ind w:firstLineChars="0"/>
        <w:rPr>
          <w:rFonts w:ascii="宋体" w:hAnsi="宋体" w:cs="仿宋_GB2312"/>
          <w:sz w:val="24"/>
          <w:szCs w:val="24"/>
        </w:rPr>
      </w:pPr>
      <w:r>
        <w:rPr>
          <w:rFonts w:hint="eastAsia" w:ascii="宋体" w:hAnsi="宋体" w:cs="仿宋_GB2312"/>
          <w:sz w:val="24"/>
          <w:szCs w:val="24"/>
        </w:rPr>
        <w:t>风扇：数量 48只</w:t>
      </w:r>
    </w:p>
    <w:p>
      <w:pPr>
        <w:pStyle w:val="6"/>
        <w:spacing w:line="360" w:lineRule="auto"/>
        <w:ind w:left="840" w:firstLine="0" w:firstLineChars="0"/>
        <w:rPr>
          <w:rFonts w:ascii="宋体" w:hAnsi="宋体" w:cs="仿宋_GB2312"/>
          <w:sz w:val="24"/>
          <w:szCs w:val="24"/>
        </w:rPr>
      </w:pPr>
      <w:r>
        <w:rPr>
          <w:rFonts w:hint="eastAsia" w:ascii="宋体" w:hAnsi="宋体" w:cs="仿宋_GB2312"/>
          <w:sz w:val="24"/>
          <w:szCs w:val="24"/>
        </w:rPr>
        <w:t>技术要求：DC 48V，0.90A轴流风机</w:t>
      </w:r>
    </w:p>
    <w:p>
      <w:pPr>
        <w:pStyle w:val="6"/>
        <w:spacing w:line="360" w:lineRule="auto"/>
        <w:ind w:left="840" w:firstLine="0" w:firstLineChars="0"/>
        <w:rPr>
          <w:rFonts w:ascii="宋体" w:hAnsi="宋体" w:cs="仿宋_GB2312"/>
          <w:sz w:val="24"/>
          <w:szCs w:val="24"/>
        </w:rPr>
      </w:pPr>
      <w:r>
        <w:rPr>
          <w:rFonts w:hint="eastAsia" w:ascii="宋体" w:hAnsi="宋体" w:cs="仿宋_GB2312"/>
          <w:sz w:val="24"/>
          <w:szCs w:val="24"/>
        </w:rPr>
        <w:t>风扇能够完全安装并适用于河北工业大学数据中心机房UPS电源（台达GES404DS）内。</w:t>
      </w:r>
    </w:p>
    <w:p>
      <w:pPr>
        <w:pStyle w:val="6"/>
        <w:numPr>
          <w:ilvl w:val="0"/>
          <w:numId w:val="1"/>
        </w:numPr>
        <w:spacing w:line="360" w:lineRule="auto"/>
        <w:ind w:firstLineChars="0"/>
        <w:rPr>
          <w:rFonts w:ascii="宋体" w:hAnsi="宋体" w:cs="仿宋_GB2312"/>
          <w:sz w:val="24"/>
          <w:szCs w:val="24"/>
        </w:rPr>
      </w:pPr>
      <w:r>
        <w:rPr>
          <w:rFonts w:hint="eastAsia" w:ascii="宋体" w:hAnsi="宋体" w:cs="仿宋_GB2312"/>
          <w:sz w:val="24"/>
          <w:szCs w:val="24"/>
        </w:rPr>
        <w:t>USB服务器：数量2台</w:t>
      </w:r>
    </w:p>
    <w:p>
      <w:pPr>
        <w:pStyle w:val="6"/>
        <w:ind w:left="840" w:firstLine="0" w:firstLineChars="0"/>
        <w:rPr>
          <w:rFonts w:ascii="宋体" w:hAnsi="宋体" w:cs="仿宋_GB2312"/>
          <w:sz w:val="24"/>
          <w:szCs w:val="24"/>
        </w:rPr>
      </w:pPr>
      <w:r>
        <w:rPr>
          <w:rFonts w:hint="eastAsia" w:ascii="宋体" w:hAnsi="宋体" w:cs="仿宋_GB2312"/>
          <w:sz w:val="24"/>
          <w:szCs w:val="24"/>
        </w:rPr>
        <w:t>设备必须可以接入我校现有一卡通系统USB证书卡的远程网络共享</w:t>
      </w:r>
    </w:p>
    <w:p>
      <w:pPr>
        <w:pStyle w:val="6"/>
        <w:ind w:left="840" w:firstLine="0" w:firstLineChars="0"/>
        <w:rPr>
          <w:rFonts w:ascii="宋体" w:hAnsi="宋体" w:cs="仿宋_GB2312"/>
          <w:sz w:val="24"/>
          <w:szCs w:val="24"/>
        </w:rPr>
      </w:pPr>
      <w:r>
        <w:rPr>
          <w:rFonts w:hint="eastAsia" w:ascii="宋体" w:hAnsi="宋体" w:cs="仿宋_GB2312"/>
          <w:sz w:val="24"/>
          <w:szCs w:val="24"/>
        </w:rPr>
        <w:t>标准1U机架安装</w:t>
      </w:r>
    </w:p>
    <w:p>
      <w:pPr>
        <w:pStyle w:val="6"/>
        <w:ind w:left="840" w:firstLine="0" w:firstLineChars="0"/>
        <w:rPr>
          <w:rFonts w:ascii="宋体" w:hAnsi="宋体" w:cs="仿宋_GB2312"/>
          <w:sz w:val="24"/>
          <w:szCs w:val="24"/>
        </w:rPr>
      </w:pPr>
      <w:r>
        <w:rPr>
          <w:rFonts w:hint="eastAsia" w:ascii="宋体" w:hAnsi="宋体" w:cs="仿宋_GB2312"/>
          <w:sz w:val="24"/>
          <w:szCs w:val="24"/>
        </w:rPr>
        <w:t>可通过网络远程使用Ukey、加密狗等USB设备</w:t>
      </w:r>
    </w:p>
    <w:p>
      <w:pPr>
        <w:pStyle w:val="6"/>
        <w:ind w:left="840" w:firstLine="0" w:firstLineChars="0"/>
        <w:rPr>
          <w:rFonts w:ascii="宋体" w:hAnsi="宋体" w:cs="仿宋_GB2312"/>
          <w:sz w:val="24"/>
          <w:szCs w:val="24"/>
        </w:rPr>
      </w:pPr>
      <w:r>
        <w:rPr>
          <w:rFonts w:hint="eastAsia" w:ascii="宋体" w:hAnsi="宋体" w:cs="仿宋_GB2312"/>
          <w:sz w:val="24"/>
          <w:szCs w:val="24"/>
        </w:rPr>
        <w:t>★支持VMWare\Xen\Hyper-V等主流服务器虚拟环境</w:t>
      </w:r>
    </w:p>
    <w:p>
      <w:pPr>
        <w:pStyle w:val="6"/>
        <w:ind w:left="840" w:firstLine="0" w:firstLineChars="0"/>
        <w:rPr>
          <w:rFonts w:ascii="宋体" w:hAnsi="宋体" w:cs="仿宋_GB2312"/>
          <w:sz w:val="24"/>
          <w:szCs w:val="24"/>
        </w:rPr>
      </w:pPr>
      <w:r>
        <w:rPr>
          <w:rFonts w:hint="eastAsia" w:ascii="宋体" w:hAnsi="宋体" w:cs="仿宋_GB2312"/>
          <w:sz w:val="24"/>
          <w:szCs w:val="24"/>
        </w:rPr>
        <w:t>支持公有云、私有云、混合云环境</w:t>
      </w:r>
    </w:p>
    <w:p>
      <w:pPr>
        <w:pStyle w:val="6"/>
        <w:ind w:left="840" w:firstLine="0" w:firstLineChars="0"/>
        <w:rPr>
          <w:rFonts w:ascii="宋体" w:hAnsi="宋体" w:cs="仿宋_GB2312"/>
          <w:sz w:val="24"/>
          <w:szCs w:val="24"/>
        </w:rPr>
      </w:pPr>
      <w:r>
        <w:rPr>
          <w:rFonts w:hint="eastAsia" w:ascii="宋体" w:hAnsi="宋体" w:cs="仿宋_GB2312"/>
          <w:sz w:val="24"/>
          <w:szCs w:val="24"/>
        </w:rPr>
        <w:t>WEB管理后台，支持vpn，花生壳，ip白名单</w:t>
      </w:r>
    </w:p>
    <w:p>
      <w:pPr>
        <w:pStyle w:val="6"/>
        <w:ind w:left="840" w:firstLine="0" w:firstLineChars="0"/>
        <w:rPr>
          <w:rFonts w:ascii="宋体" w:hAnsi="宋体" w:cs="仿宋_GB2312"/>
          <w:sz w:val="24"/>
          <w:szCs w:val="24"/>
        </w:rPr>
      </w:pPr>
      <w:r>
        <w:rPr>
          <w:rFonts w:hint="eastAsia" w:ascii="宋体" w:hAnsi="宋体" w:cs="仿宋_GB2312"/>
          <w:sz w:val="24"/>
          <w:szCs w:val="24"/>
        </w:rPr>
        <w:t>支持密码管理</w:t>
      </w:r>
    </w:p>
    <w:p>
      <w:pPr>
        <w:pStyle w:val="6"/>
        <w:ind w:left="840" w:firstLine="0" w:firstLineChars="0"/>
        <w:rPr>
          <w:rFonts w:ascii="宋体" w:hAnsi="宋体" w:cs="仿宋_GB2312"/>
          <w:sz w:val="24"/>
          <w:szCs w:val="24"/>
        </w:rPr>
      </w:pPr>
      <w:r>
        <w:rPr>
          <w:rFonts w:hint="eastAsia" w:ascii="宋体" w:hAnsi="宋体" w:cs="仿宋_GB2312"/>
          <w:sz w:val="24"/>
          <w:szCs w:val="24"/>
        </w:rPr>
        <w:t>★具有至少1个千兆网口</w:t>
      </w:r>
    </w:p>
    <w:p>
      <w:pPr>
        <w:pStyle w:val="6"/>
        <w:ind w:left="840" w:firstLine="0" w:firstLineChars="0"/>
        <w:rPr>
          <w:rFonts w:ascii="宋体" w:hAnsi="宋体" w:cs="仿宋_GB2312"/>
          <w:sz w:val="24"/>
          <w:szCs w:val="24"/>
        </w:rPr>
      </w:pPr>
      <w:r>
        <w:rPr>
          <w:rFonts w:hint="eastAsia" w:ascii="宋体" w:hAnsi="宋体" w:cs="仿宋_GB2312"/>
          <w:sz w:val="24"/>
          <w:szCs w:val="24"/>
        </w:rPr>
        <w:t>★具有至少1个电源接口</w:t>
      </w:r>
    </w:p>
    <w:p>
      <w:pPr>
        <w:pStyle w:val="6"/>
        <w:ind w:left="840" w:firstLine="0" w:firstLineChars="0"/>
        <w:rPr>
          <w:rFonts w:ascii="宋体" w:hAnsi="宋体" w:cs="仿宋_GB2312"/>
          <w:sz w:val="24"/>
          <w:szCs w:val="24"/>
        </w:rPr>
      </w:pPr>
      <w:r>
        <w:rPr>
          <w:rFonts w:hint="eastAsia" w:ascii="宋体" w:hAnsi="宋体" w:cs="仿宋_GB2312"/>
          <w:sz w:val="24"/>
          <w:szCs w:val="24"/>
        </w:rPr>
        <w:t>★14个USB2.0 Host端口支持通过VPN方式连接远程办公室，支持snmp网络管理协议</w:t>
      </w:r>
    </w:p>
    <w:p>
      <w:pPr>
        <w:pStyle w:val="6"/>
        <w:ind w:left="840" w:firstLine="0" w:firstLineChars="0"/>
        <w:rPr>
          <w:rFonts w:ascii="宋体" w:hAnsi="宋体" w:cs="仿宋_GB2312"/>
          <w:sz w:val="24"/>
          <w:szCs w:val="24"/>
        </w:rPr>
      </w:pPr>
      <w:r>
        <w:rPr>
          <w:rFonts w:hint="eastAsia" w:ascii="宋体" w:hAnsi="宋体" w:cs="仿宋_GB2312"/>
          <w:sz w:val="24"/>
          <w:szCs w:val="24"/>
        </w:rPr>
        <w:t>支持软件模拟插拔独立供断电</w:t>
      </w:r>
    </w:p>
    <w:p>
      <w:pPr>
        <w:pStyle w:val="6"/>
        <w:numPr>
          <w:ilvl w:val="0"/>
          <w:numId w:val="1"/>
        </w:numPr>
        <w:spacing w:line="360" w:lineRule="auto"/>
        <w:ind w:firstLineChars="0"/>
        <w:rPr>
          <w:rFonts w:ascii="宋体" w:hAnsi="宋体" w:cs="仿宋_GB2312"/>
          <w:sz w:val="24"/>
          <w:szCs w:val="24"/>
        </w:rPr>
      </w:pPr>
      <w:r>
        <w:rPr>
          <w:rFonts w:hint="eastAsia" w:ascii="宋体" w:hAnsi="宋体" w:cs="仿宋_GB2312"/>
          <w:sz w:val="24"/>
          <w:szCs w:val="24"/>
        </w:rPr>
        <w:t>其他：</w:t>
      </w:r>
    </w:p>
    <w:p>
      <w:pPr>
        <w:pStyle w:val="6"/>
        <w:spacing w:line="360" w:lineRule="auto"/>
        <w:ind w:left="840" w:firstLine="0" w:firstLineChars="0"/>
        <w:rPr>
          <w:rFonts w:ascii="宋体" w:hAnsi="宋体" w:cs="仿宋_GB2312"/>
          <w:sz w:val="24"/>
          <w:szCs w:val="24"/>
        </w:rPr>
      </w:pPr>
      <w:r>
        <w:rPr>
          <w:rFonts w:hint="eastAsia" w:ascii="宋体" w:hAnsi="宋体" w:cs="仿宋_GB2312"/>
          <w:sz w:val="24"/>
          <w:szCs w:val="24"/>
        </w:rPr>
        <w:t>本次所供设备必须完全兼容河北工业大学数据中心现有动力环境以及网络环境，并且能够并入数据中心管理系统；</w:t>
      </w:r>
    </w:p>
    <w:p>
      <w:pPr>
        <w:pStyle w:val="6"/>
        <w:spacing w:line="360" w:lineRule="auto"/>
        <w:ind w:left="840" w:firstLine="0" w:firstLineChars="0"/>
        <w:rPr>
          <w:rFonts w:ascii="宋体" w:hAnsi="宋体" w:cs="仿宋_GB2312"/>
          <w:sz w:val="24"/>
          <w:szCs w:val="24"/>
        </w:rPr>
      </w:pPr>
      <w:r>
        <w:rPr>
          <w:rFonts w:hint="eastAsia" w:ascii="宋体" w:hAnsi="宋体" w:cs="仿宋_GB2312"/>
          <w:sz w:val="24"/>
          <w:szCs w:val="24"/>
        </w:rPr>
        <w:t>负责旧设备拆除以及搬运；</w:t>
      </w:r>
    </w:p>
    <w:p>
      <w:r>
        <w:rPr>
          <w:rFonts w:hint="eastAsia" w:ascii="宋体" w:hAnsi="宋体" w:cs="仿宋_GB2312"/>
          <w:sz w:val="24"/>
          <w:szCs w:val="24"/>
        </w:rPr>
        <w:t>负责新设备的现场安装以及调试。</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148E4"/>
    <w:multiLevelType w:val="multilevel"/>
    <w:tmpl w:val="255148E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NjdjYTViMzFmOWVmNDgwMWUxYTRmOWMyZWRkMDYifQ=="/>
  </w:docVars>
  <w:rsids>
    <w:rsidRoot w:val="00000000"/>
    <w:rsid w:val="6987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tLeast"/>
      <w:outlineLvl w:val="1"/>
    </w:pPr>
    <w:rPr>
      <w:rFonts w:ascii="Calibri Light" w:hAnsi="Calibri Light"/>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center"/>
    </w:pPr>
    <w:rPr>
      <w:rFonts w:ascii="仿宋_GB2312"/>
      <w:kern w:val="0"/>
      <w:sz w:val="24"/>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2022-09-13T05:56:03Z</dcterms:created>
  <dc:creator>Administrator</dc:creator>
  <cp:lastModifiedBy>苏格拉没有底</cp:lastModifiedBy>
  <dcterms:modified xsi:type="dcterms:W3CDTF">2022-09-13T05:56:31Z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4BA8030831344D8392A6A6B5AB4DAD9C</vt:lpwstr>
  </property>
</Properties>
</file>