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442835"/>
            <wp:effectExtent l="0" t="0" r="7620" b="5715"/>
            <wp:docPr id="2" name="图片 2" descr="TJBD-2021-A-333河北工业大学材料学院金属3D打印设备采购项目更正公告1号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TJBD-2021-A-333河北工业大学材料学院金属3D打印设备采购项目更正公告1号_0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442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442835"/>
            <wp:effectExtent l="0" t="0" r="7620" b="5715"/>
            <wp:docPr id="1" name="图片 1" descr="TJBD-2021-A-333河北工业大学材料学院金属3D打印设备采购项目更正公告1号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TJBD-2021-A-333河北工业大学材料学院金属3D打印设备采购项目更正公告1号_0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442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7716F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Office_11.1.0.11115_F1E327BC-269C-435d-A152-05C5408002CA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2021-12-24T07:36:14Z</dcterms:created>
  <dc:creator>Administrator</dc:creator>
  <cp:lastModifiedBy>郭晟</cp:lastModifiedBy>
  <dcterms:modified xsi:type="dcterms:W3CDTF">2021-12-24T07:36:26Z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2052-11.1.0.11115</vt:lpwstr>
  </property>
  <property fmtid="{D5CDD505-2E9C-101B-9397-08002B2CF9AE}" pid="3" name="ICV">
    <vt:lpwstr>5FC07C72AB574EE2A62B5D4BC939D194</vt:lpwstr>
  </property>
</Properties>
</file>